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43" w:rsidRDefault="00AF3443" w:rsidP="00AF3443">
      <w:pPr>
        <w:ind w:left="289" w:right="7" w:hanging="10"/>
        <w:jc w:val="center"/>
        <w:rPr>
          <w:rFonts w:ascii="Verdana" w:eastAsia="Verdana" w:hAnsi="Verdana" w:cs="Verdana"/>
          <w:color w:val="16365D"/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1143000" cy="883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43" w:rsidRDefault="00AF3443" w:rsidP="00AF3443">
      <w:pPr>
        <w:tabs>
          <w:tab w:val="left" w:pos="8592"/>
        </w:tabs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AF3443" w:rsidRDefault="00AF3443" w:rsidP="00AF3443">
      <w:pPr>
        <w:tabs>
          <w:tab w:val="left" w:pos="8592"/>
        </w:tabs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AF3443" w:rsidRDefault="00AF3443" w:rsidP="00AF3443">
      <w:pPr>
        <w:pStyle w:val="Titolo5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Via F. Cavallotti, 15 - Tel. 0828/793037 </w:t>
      </w:r>
    </w:p>
    <w:p w:rsidR="00AF3443" w:rsidRDefault="00AF3443" w:rsidP="00AF3443">
      <w:pPr>
        <w:spacing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AF3443" w:rsidRDefault="00AF3443" w:rsidP="00AF3443">
      <w:pPr>
        <w:spacing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5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6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AF3443" w:rsidRDefault="00AF3443" w:rsidP="00AF3443">
      <w:pPr>
        <w:spacing w:line="0" w:lineRule="atLeast"/>
        <w:jc w:val="center"/>
        <w:rPr>
          <w:rStyle w:val="Collegamentoipertestuale"/>
          <w:lang w:val="en-US"/>
        </w:rPr>
      </w:pPr>
      <w:r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7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</w:p>
    <w:p w:rsidR="00AF3443" w:rsidRDefault="00AF3443" w:rsidP="00AF3443">
      <w:pPr>
        <w:spacing w:line="0" w:lineRule="atLeast"/>
        <w:jc w:val="center"/>
      </w:pPr>
    </w:p>
    <w:p w:rsidR="00AF3443" w:rsidRDefault="00AF3443" w:rsidP="00AF3443">
      <w:pPr>
        <w:jc w:val="center"/>
        <w:rPr>
          <w:lang w:val="en-US"/>
        </w:rPr>
      </w:pPr>
      <w:r>
        <w:rPr>
          <w:rFonts w:ascii="Times New Roman" w:hAnsi="Times New Roman"/>
          <w:smallCaps/>
          <w:noProof/>
          <w:lang w:bidi="ar-SA"/>
        </w:rPr>
        <w:drawing>
          <wp:inline distT="0" distB="0" distL="0" distR="0">
            <wp:extent cx="990600" cy="426720"/>
            <wp:effectExtent l="0" t="0" r="0" b="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8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441960" cy="4114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43" w:rsidRDefault="00AF3443" w:rsidP="00AF3443">
      <w:pPr>
        <w:jc w:val="center"/>
      </w:pPr>
    </w:p>
    <w:p w:rsidR="007279E8" w:rsidRDefault="00AF3443" w:rsidP="00AF3443">
      <w:pPr>
        <w:jc w:val="center"/>
      </w:pPr>
      <w:r w:rsidRPr="00AF3443">
        <w:t>Anno Scolastico __________</w:t>
      </w:r>
    </w:p>
    <w:p w:rsidR="00AF3443" w:rsidRDefault="00AF3443"/>
    <w:p w:rsidR="00AF3443" w:rsidRDefault="00AF3443" w:rsidP="00AF3443"/>
    <w:p w:rsidR="00AF3443" w:rsidRPr="00AF3443" w:rsidRDefault="00AF3443" w:rsidP="00AF3443">
      <w:pPr>
        <w:jc w:val="center"/>
        <w:rPr>
          <w:b/>
          <w:sz w:val="32"/>
          <w:szCs w:val="32"/>
        </w:rPr>
      </w:pPr>
      <w:r w:rsidRPr="00AF3443">
        <w:rPr>
          <w:b/>
          <w:sz w:val="32"/>
          <w:szCs w:val="32"/>
        </w:rPr>
        <w:t>PROGETTO EDUCATIVO-DIDATTICO</w:t>
      </w:r>
    </w:p>
    <w:p w:rsidR="00AF3443" w:rsidRPr="00AF3443" w:rsidRDefault="00AF3443" w:rsidP="00AF3443">
      <w:pPr>
        <w:jc w:val="center"/>
        <w:rPr>
          <w:b/>
          <w:sz w:val="32"/>
          <w:szCs w:val="32"/>
        </w:rPr>
      </w:pPr>
    </w:p>
    <w:p w:rsidR="00AF3443" w:rsidRDefault="00AF3443" w:rsidP="00AF3443"/>
    <w:p w:rsidR="00AF3443" w:rsidRDefault="004D6169" w:rsidP="00AF3443">
      <w:pPr>
        <w:jc w:val="both"/>
      </w:pPr>
      <w:r>
        <w:t>L’</w:t>
      </w:r>
      <w:r w:rsidR="00AF3443">
        <w:t>I.C. Sannazzaro di Oliveto Citra (SA) consente l’accesso a specialisti titolari dell’approccio A.B.A. previa presentazione di un Progetto educativo-didattico da parte di operatori del Metodo A.B.A. (“Documento per l’osservazione del metodo A.B.A di supporto all’alunno”)</w:t>
      </w:r>
      <w:r>
        <w:t xml:space="preserve"> che sia coerente</w:t>
      </w:r>
      <w:r w:rsidR="001D5056">
        <w:t xml:space="preserve"> con il P</w:t>
      </w:r>
      <w:r w:rsidR="0059148E">
        <w:t xml:space="preserve">I d’Istituto </w:t>
      </w:r>
      <w:r>
        <w:t>e il Protocollo di accesso in orario curricolare di figure esterne aventi titolar</w:t>
      </w:r>
      <w:r w:rsidR="005E048A">
        <w:t>ità per gli interventi A.B.A. (</w:t>
      </w:r>
      <w:r>
        <w:t xml:space="preserve">APPLIED BEHAVIOR ANALYSIS) approvati </w:t>
      </w:r>
      <w:r w:rsidR="003A0B35">
        <w:t>dagli OO.CC</w:t>
      </w:r>
      <w:r w:rsidR="001B162D">
        <w:t>.</w:t>
      </w:r>
    </w:p>
    <w:p w:rsidR="00AF3443" w:rsidRDefault="00AF3443" w:rsidP="00AF3443"/>
    <w:p w:rsidR="00C76D52" w:rsidRDefault="00C76D52" w:rsidP="004D6169">
      <w:pPr>
        <w:jc w:val="both"/>
      </w:pPr>
      <w:r w:rsidRPr="00C76D52">
        <w:t>Il Documento per l’osservazione dell’approccio A.B.A., di supporto all’alunno, è strutturato nel seguente modo:</w:t>
      </w:r>
    </w:p>
    <w:p w:rsidR="00C76D52" w:rsidRDefault="00C76D52" w:rsidP="004D6169">
      <w:pPr>
        <w:jc w:val="both"/>
      </w:pPr>
    </w:p>
    <w:p w:rsidR="00AF3443" w:rsidRDefault="00AF3443" w:rsidP="004D6169">
      <w:pPr>
        <w:jc w:val="both"/>
      </w:pPr>
      <w:r>
        <w:t>-</w:t>
      </w:r>
      <w:r>
        <w:tab/>
        <w:t xml:space="preserve">Destinatario: </w:t>
      </w:r>
    </w:p>
    <w:p w:rsidR="00AF3443" w:rsidRDefault="00AF3443" w:rsidP="004D6169">
      <w:pPr>
        <w:jc w:val="both"/>
      </w:pPr>
      <w:r>
        <w:t>-</w:t>
      </w:r>
      <w:r>
        <w:tab/>
        <w:t xml:space="preserve">motivazione dettagliata dell’osservazione: </w:t>
      </w:r>
    </w:p>
    <w:p w:rsidR="00AF3443" w:rsidRDefault="00AF3443" w:rsidP="004D6169">
      <w:pPr>
        <w:jc w:val="both"/>
      </w:pPr>
      <w:r>
        <w:t>-</w:t>
      </w:r>
      <w:r>
        <w:tab/>
        <w:t xml:space="preserve">finalità: </w:t>
      </w:r>
    </w:p>
    <w:p w:rsidR="00AF3443" w:rsidRDefault="00AF3443" w:rsidP="004D6169">
      <w:pPr>
        <w:jc w:val="both"/>
      </w:pPr>
      <w:r>
        <w:t>-</w:t>
      </w:r>
      <w:r>
        <w:tab/>
        <w:t xml:space="preserve">obiettivi: </w:t>
      </w:r>
    </w:p>
    <w:p w:rsidR="00AF3443" w:rsidRDefault="00AF3443" w:rsidP="004D6169">
      <w:pPr>
        <w:jc w:val="both"/>
      </w:pPr>
      <w:r>
        <w:t>-</w:t>
      </w:r>
      <w:r>
        <w:tab/>
        <w:t xml:space="preserve">integrazione con il PEI: </w:t>
      </w:r>
    </w:p>
    <w:p w:rsidR="00AF3443" w:rsidRDefault="00AF3443" w:rsidP="004D6169">
      <w:pPr>
        <w:jc w:val="both"/>
      </w:pPr>
      <w:r>
        <w:t>-</w:t>
      </w:r>
      <w:r>
        <w:tab/>
        <w:t xml:space="preserve">modalità dell’osservazione: </w:t>
      </w:r>
    </w:p>
    <w:p w:rsidR="00AF3443" w:rsidRDefault="00AF3443" w:rsidP="004D6169">
      <w:pPr>
        <w:jc w:val="both"/>
      </w:pPr>
      <w:r>
        <w:t>-</w:t>
      </w:r>
      <w:r>
        <w:tab/>
        <w:t xml:space="preserve">durata del percorso (inizio e fine): </w:t>
      </w:r>
    </w:p>
    <w:p w:rsidR="00AF3443" w:rsidRDefault="00AF3443" w:rsidP="004D6169">
      <w:pPr>
        <w:jc w:val="both"/>
      </w:pPr>
      <w:r>
        <w:t>-</w:t>
      </w:r>
      <w:r>
        <w:tab/>
        <w:t xml:space="preserve">giorno ed orario di accesso/i: </w:t>
      </w:r>
    </w:p>
    <w:p w:rsidR="00AF3443" w:rsidRDefault="00AF3443" w:rsidP="004D6169">
      <w:pPr>
        <w:jc w:val="both"/>
      </w:pPr>
      <w:r>
        <w:t>-</w:t>
      </w:r>
      <w:r>
        <w:tab/>
        <w:t xml:space="preserve">garanzia di flessibilità organizzativa: </w:t>
      </w:r>
    </w:p>
    <w:p w:rsidR="00AF3443" w:rsidRDefault="00AF3443" w:rsidP="004D6169">
      <w:pPr>
        <w:jc w:val="both"/>
      </w:pPr>
      <w:r>
        <w:t>-</w:t>
      </w:r>
      <w:r>
        <w:tab/>
        <w:t xml:space="preserve">interventi: </w:t>
      </w:r>
    </w:p>
    <w:p w:rsidR="00AF3443" w:rsidRDefault="00AF3443" w:rsidP="004D6169">
      <w:pPr>
        <w:jc w:val="both"/>
      </w:pPr>
      <w:r>
        <w:t>-</w:t>
      </w:r>
      <w:r>
        <w:tab/>
        <w:t xml:space="preserve">strumenti: </w:t>
      </w:r>
    </w:p>
    <w:p w:rsidR="00AF3443" w:rsidRDefault="00AF3443" w:rsidP="004D6169">
      <w:pPr>
        <w:jc w:val="both"/>
      </w:pPr>
      <w:r>
        <w:t>-</w:t>
      </w:r>
      <w:r>
        <w:tab/>
        <w:t xml:space="preserve">spazio: </w:t>
      </w:r>
    </w:p>
    <w:p w:rsidR="00AF3443" w:rsidRDefault="00AF3443" w:rsidP="004D6169">
      <w:pPr>
        <w:jc w:val="both"/>
      </w:pPr>
      <w:r>
        <w:t>-</w:t>
      </w:r>
      <w:r>
        <w:tab/>
        <w:t>acquisizione autorizzazione dei genitori degli alunni delle classi interessate:</w:t>
      </w:r>
    </w:p>
    <w:p w:rsidR="00AF3443" w:rsidRDefault="00AF3443" w:rsidP="004D6169">
      <w:pPr>
        <w:jc w:val="both"/>
      </w:pPr>
    </w:p>
    <w:p w:rsidR="00AF3443" w:rsidRDefault="00AF3443" w:rsidP="004D6169">
      <w:pPr>
        <w:jc w:val="both"/>
      </w:pPr>
      <w:r>
        <w:t>Riunione tecnica (Consiglio di classe o Team docente della sezione o della classe interessata) convocata in data:</w:t>
      </w:r>
    </w:p>
    <w:p w:rsidR="00AF3443" w:rsidRDefault="00AF3443" w:rsidP="004D6169">
      <w:pPr>
        <w:jc w:val="both"/>
      </w:pPr>
    </w:p>
    <w:p w:rsidR="00AF3443" w:rsidRDefault="00AF3443" w:rsidP="004D6169">
      <w:pPr>
        <w:jc w:val="both"/>
      </w:pPr>
      <w:r>
        <w:t>Docenti presenti nella Riunione tecnica:</w:t>
      </w:r>
    </w:p>
    <w:p w:rsidR="00AF3443" w:rsidRDefault="00AF3443" w:rsidP="004D6169">
      <w:pPr>
        <w:jc w:val="both"/>
      </w:pPr>
    </w:p>
    <w:p w:rsidR="00AF3443" w:rsidRDefault="00AF3443" w:rsidP="004D6169">
      <w:pPr>
        <w:jc w:val="both"/>
      </w:pPr>
      <w:r>
        <w:t>Supervisore qualificato specializzato e certificato intervento presente nella Riunione tecnica:</w:t>
      </w:r>
    </w:p>
    <w:p w:rsidR="00C76D52" w:rsidRDefault="00C76D52" w:rsidP="004D6169">
      <w:pPr>
        <w:jc w:val="both"/>
      </w:pPr>
    </w:p>
    <w:p w:rsidR="00AF3443" w:rsidRDefault="00C76D52" w:rsidP="00F64452">
      <w:pPr>
        <w:jc w:val="both"/>
      </w:pPr>
      <w:r>
        <w:t xml:space="preserve">Oliveto Citra,                                                  </w:t>
      </w:r>
      <w:r w:rsidR="00F64452">
        <w:t xml:space="preserve">                               </w:t>
      </w:r>
    </w:p>
    <w:sectPr w:rsidR="00AF3443" w:rsidSect="00325D2F">
      <w:type w:val="continuous"/>
      <w:pgSz w:w="11904" w:h="16838" w:code="9"/>
      <w:pgMar w:top="1138" w:right="1136" w:bottom="1128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43"/>
    <w:rsid w:val="00046E99"/>
    <w:rsid w:val="001B162D"/>
    <w:rsid w:val="001D5056"/>
    <w:rsid w:val="002D1572"/>
    <w:rsid w:val="00325D2F"/>
    <w:rsid w:val="003A0B35"/>
    <w:rsid w:val="00486D38"/>
    <w:rsid w:val="004D6169"/>
    <w:rsid w:val="0059148E"/>
    <w:rsid w:val="005E048A"/>
    <w:rsid w:val="007279E8"/>
    <w:rsid w:val="00801668"/>
    <w:rsid w:val="00AC09C3"/>
    <w:rsid w:val="00AF3443"/>
    <w:rsid w:val="00C76D52"/>
    <w:rsid w:val="00CD7929"/>
    <w:rsid w:val="00F6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F6FCD-5F9B-4994-ABF7-FE941B34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F344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34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3443"/>
    <w:rPr>
      <w:rFonts w:asciiTheme="majorHAnsi" w:eastAsiaTheme="majorEastAsia" w:hAnsiTheme="majorHAnsi" w:cstheme="majorBidi"/>
      <w:color w:val="2F5496" w:themeColor="accent1" w:themeShade="BF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F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AIC813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vetocitraic.gov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ic81300d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Asus</cp:lastModifiedBy>
  <cp:revision>9</cp:revision>
  <dcterms:created xsi:type="dcterms:W3CDTF">2021-09-22T12:40:00Z</dcterms:created>
  <dcterms:modified xsi:type="dcterms:W3CDTF">2024-09-12T15:05:00Z</dcterms:modified>
</cp:coreProperties>
</file>